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CD51" w14:textId="77777777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 xml:space="preserve">карта обеспеченности литературой </w:t>
      </w:r>
    </w:p>
    <w:p w14:paraId="401FC694" w14:textId="507219E2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>По курсу</w:t>
      </w:r>
    </w:p>
    <w:p w14:paraId="1E11E3ED" w14:textId="77777777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 xml:space="preserve"> «Конфликтогенные факторы в центрально-азиатской практике»</w:t>
      </w:r>
    </w:p>
    <w:p w14:paraId="2F61AB81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0FD3460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Осенний семестр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2022-2023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уч. год;</w:t>
      </w:r>
    </w:p>
    <w:p w14:paraId="1CCF2FC7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ОП  «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7M03108-Конфликтология».</w:t>
      </w:r>
    </w:p>
    <w:p w14:paraId="5368A428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06E7B94" w14:textId="5C14CBD8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Вся литература по курсу представлена в 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>PDF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формате в системе 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>UNIVER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см. УМКД, раздел «дополнительные материалы»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Обеспеченность литературой </w:t>
      </w:r>
      <w:r>
        <w:rPr>
          <w:rFonts w:ascii="Times New Roman" w:eastAsia="Times New Roman" w:hAnsi="Times New Roman" w:cs="Times New Roman"/>
          <w:sz w:val="20"/>
          <w:szCs w:val="20"/>
        </w:rPr>
        <w:t>– 100%</w:t>
      </w:r>
    </w:p>
    <w:p w14:paraId="2499888F" w14:textId="77777777" w:rsid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541748E" w14:textId="666AA71A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Список литературы </w:t>
      </w:r>
    </w:p>
    <w:p w14:paraId="5C489683" w14:textId="71708CC9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 xml:space="preserve">Модуль 1. Теоретические и концептуальные основы </w:t>
      </w: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>РАССМОТРЕНИЯ КОНФЛИКТОГЕННЫХ</w:t>
      </w: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 xml:space="preserve"> факторов в ЦА</w:t>
      </w:r>
    </w:p>
    <w:p w14:paraId="416B7A27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Потемкин, В. К. (2021). Конфликтология: учебник для вузов. СПБ, 373 с.</w:t>
      </w:r>
    </w:p>
    <w:p w14:paraId="533A1205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Глухова, А. В. (2020). Политические конфликты в глобальную эпоху (К проблеме теоретической идентификации). Политическая наука, (3),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13-33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75D21A36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Омелаенко</w:t>
      </w:r>
      <w:proofErr w:type="spell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Н. В. (2019). Социальный конфликт: диагностика, причины, управление. Известия высших учебных заведений. Социология. Экономика. Политика, (4),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85-96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8448600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Алешин, В. В. (2021). Правовое регулирование вооруженного конфликта немеждународного характера. Московский журнал международного права, (2),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134-143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7D5758F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Старушенко, Г. Б. (2021). Не только тушить, но и предупреждать конфликты (правовая основа превентивной политики и дипломатии). Московский журнал международного права, (1),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28-48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730BB454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де Кастро, А. Г. Ф. (2021). Международно-правовая регламентация внутренних вооруженных конфликтов. Московский журнал международного права, (1),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90-106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2312025D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Неженец, О. В., &amp; Петренко, Е. Г. (2020). ООН как посредник в урегулировании международных конфликтов. </w:t>
      </w:r>
      <w:proofErr w:type="spell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Эпомен</w:t>
      </w:r>
      <w:proofErr w:type="spell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(35),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230-235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04F16967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Нестеров, Д. Л. (2020). МЕЖДУНАРОДНОЕ ГУМАНИТАРНОЕ ПРАВО: ПРАВО ВООРУЖЕННЫХ КОНФЛИКТОВ. Научно-практический журнал «Энигма» Выпуск № 28 часть 2, 56.</w:t>
      </w:r>
    </w:p>
    <w:p w14:paraId="3C655010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Павловский, И. В. (2005). Регионоведение сегодня. Вестник Московского университета. Серия 19. Лингвистика и межкультурная коммуникация, (2),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145-156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5BD3FC5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Киреев, А. А. (2014). Понятие «регион» и предметно-методологические проблемы регионоведения. Регионалистика, 1(1), 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18-32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84426C2" w14:textId="77777777" w:rsidR="00F938D7" w:rsidRPr="00F938D7" w:rsidRDefault="00F938D7" w:rsidP="00F93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Максимцев</w:t>
      </w:r>
      <w:proofErr w:type="spell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И. А., </w:t>
      </w:r>
      <w:proofErr w:type="spell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Межевич</w:t>
      </w:r>
      <w:proofErr w:type="spell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Н. М., &amp; Разумовский, В. М. (2019). Зарубежное регионоведение: вопросы теории и информационного обеспечения. Известия Санкт-Петербургского государственного экономического университета, (</w:t>
      </w:r>
      <w:proofErr w:type="gramStart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5-1</w:t>
      </w:r>
      <w:proofErr w:type="gramEnd"/>
      <w:r w:rsidRPr="00F938D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(119)), 7-14.</w:t>
      </w:r>
    </w:p>
    <w:p w14:paraId="098FB12E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88CD6E0" w14:textId="77777777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>Модуль 2 Конфликтогенные факторы в отношениях между государствами ЦА</w:t>
      </w:r>
    </w:p>
    <w:p w14:paraId="7952248D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48AC71A8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ЛАУМУЛИН М.Т. ЦЕНТРАЛЬНАЯ АЗИЯ В ЭПОХУ ТРАНСФОРМАЦИИ. – НУР-СУЛТАН: КИСИ ПРИ ПРЕЗИДЕНТЕ РК, 2020. – 464 С.</w:t>
      </w:r>
    </w:p>
    <w:p w14:paraId="1A911034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Мехмет, А. (2022). ВЛИЯНИЕ ПОГРАНИЧНЫХ СПОРОВ НА ВНЕШНЮЮ ПОЛИТИКУ ГОСУДАРСТВ ЦЕНТРАЛЬНОЙ АЗИИ. Постсоветские исследования, 5(3),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252-256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4A274A05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САИПОВА, К. Д. (2021). МЕЖНАЦИОНАЛЬНЫЕ ОТНОШЕНИЯ ГОСУДАРСТВ ЦЕНТРАЛЬНОЙ АЗИИ В ПОСЛЕДНЕЕ ДЕСЯТИЛЕТИЕ СОВЕТСКОГО ГОСПОДСТВА: ПУТИ И МЕТОДЫ СТАБИЛИЗАЦИИ. In Проблемы распада и наследия СССР в современном публичном пространстве (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pp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45-48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).</w:t>
      </w:r>
    </w:p>
    <w:p w14:paraId="604F8552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Аламанов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С. К. (2018). Анклавы в Центральной Азии: история вопроса и современные проблемы. Постсоветские исследования, 1(5),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451-459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65BA7D05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Нарбеков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(2022). Национально-территориальное размежевание в средней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азии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и его основные причины. Значение цифровых технологий в изучении истории Узбекистана, 1(01),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358-363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3E5B07AD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Турсунова, Р. Ю. (2022). СРЕДНЯЯ АЗИЯ–ЕДИНСТВО В МНОГООБРАЗИИ В СОВЕТСКИЙ ПЕРИОД (ИСТОРИКО-КУЛЬТУРНЫЙ АСПЕКТ). In III Международная научно-практическая конференция (p. 412).</w:t>
      </w:r>
    </w:p>
    <w:p w14:paraId="4542500A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Akulov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M. (2022). Тенденции в западных исследованиях истории Центральной Азии: пример журнала «Central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Asian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Survey». 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Bulletin of LN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</w:rPr>
        <w:t>Gumilyov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Eurasian National University. Historical Sciences. Philosophy.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Religious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studies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series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., 140(3),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7-20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1C056175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Арзыматова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А., &amp;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Атыканова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Д. А. (2022). НЕКОТОРЫЕ АСПЕКТЫ ИСТОРИИ КЫРГЫЗСКО-УЗБЕКСКИХ МЕЖЭТНИЧЕСКИХ ОТНОШЕНИЙ В ХРОНОЛОГИЧЕСКИЙ ПЕРИОД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1990-2010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 Международный журнал гуманитарных и естественных наук, (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5-1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), 52-58.</w:t>
      </w:r>
    </w:p>
    <w:p w14:paraId="15788678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Закирова, А. С., &amp; Закиров, М. А. (2022). Кыргызско-узбекские погранично-территориальные разногласия в постсоветский период. Известия Алтайского государственного университета, (6 (128)),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56-60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4BCB6F94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Кудаяров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К. А. (2022). ВНУТРИРЕГИОНАЛЬНЫЕ ПРОБЛЕМЫ БЕЗОПАСНОСТИ ЦЕНТРАЛЬНОЙ АЗИИ: НА ПРИМЕРЕ КЫРГЫЗСТАНА. Социальные и гуманитарные науки. Отечественная и зарубежная литература. Сер. 9, Востоковедение и африканистика: Реферативный журнал, (2),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59-80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56844D44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Холики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А., &amp; Рахимов, Н. Т. (2015). Спорные территории как очаги напряженности на границе. Вестник Таджикского государственного университета права, бизнеса и политики. Серия общественных наук, (3),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188-196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2C951500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Куртов, А. (2013). Водные ресурсы как причина конфликтов в Центральной Азии. Свободная мысль, (4),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103-116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6E537F08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Маллаев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Н. Р. (2021). Международно-правовое регулирование трансграничных водных ресурсов государств Центральной Азии. Бюллетень науки и практики, 7(5),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391-401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143D548A" w14:textId="77777777" w:rsidR="00F938D7" w:rsidRPr="00F938D7" w:rsidRDefault="00F938D7" w:rsidP="00F938D7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Тураева, М. О. (2022). ДИНАМИКА РАЗВИТИЯ ТРАНСПОРТНО-ЛОГИСТИЧЕСКИХ СВЯЗЕЙ В ЦЕНТРАЛЬНО-АЗИАТСКОМ РЕГИОНЕ. Государственная служба, 24(3 (137)),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87-92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0FE0E4B6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1B2E4E5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E44C7D7" w14:textId="68E6FCD0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>Модуль 3 Конфликтогенные факторы внутри государств ЦА</w:t>
      </w:r>
    </w:p>
    <w:p w14:paraId="3CE7F9C5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Лаумулин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М. (2022). ОБЗОР ЛИТЕРАТУРЫ ПО ЦЕНТРАЛЬНОЙ АЗИИ НА 2022 Г.: ЧАСТЬ I, 2, 3, 4. Казахстан-Спектр. </w:t>
      </w:r>
    </w:p>
    <w:p w14:paraId="2A65D754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Kazakhstan Journal for Foreign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Studies, 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</w:rPr>
        <w:t>KazISS</w:t>
      </w:r>
      <w:proofErr w:type="spellEnd"/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материалы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русском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языке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20028669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Казахстан – Спектр. Журнал КИСИ при Президенте РК </w:t>
      </w:r>
    </w:p>
    <w:p w14:paraId="1BEB3C45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Бор, А., Брауэр, Б., Гулд-Дэвис, Н.,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Касенова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Н.,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Лиллис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Д.,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Маллинсон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К., ... &amp; Сатпаев, Д. (2020). Казахстан: испытание «транзитом власти». Доклад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Chatham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House//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https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://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www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chathamhouse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org/sites/default/files/CHHJ8054-RUSSIAN-Kazakhstan-Report-FINAL.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pdf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дата обращения 22.06.</w:t>
      </w:r>
    </w:p>
    <w:p w14:paraId="2A73D98A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Кичикенов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(2016). КОНФЛИКТЫ СУВЕРЕННОГО КЫРГЫЗСТАНА. Вестник Бишкекского гуманитарного университета, (1),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249-250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396D5EFF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Азимова, Ж. Ч. (2019). Особенности этнических противоречий в Кыргызской Республике. Вестник Кыргызско-Российского Славянского университета, 19(6),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3-6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33E22AA3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Мамытова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Э. (2004). Религиозные, этнические и клановые аспекты конфликтов в Центральной Азии. Россия и мусульманский мир, (2),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96-107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068A8C6E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Лузянин, С. (2005). «Цветные революции» в центральноазиатской проекции: Кыргызстан Узбекистан Казахстан. Центральная Азия и Кавказ, (5 (41)),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7-21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0C3A09F1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Сатарбаев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А. М. (2020). МЕЖЭТНИЧЕСКИЕ КОНФЛИКТЫ В ФЕРГАНСКОЙ ДОЛИНЕ В КОНЦЕ XX ВЕКА. Вестник Ошского государственного университета, (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1-3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), 97-101.</w:t>
      </w:r>
    </w:p>
    <w:p w14:paraId="299C1BF3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Назаршоева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С. Ф. (2019). Гражданская война и политика памяти в Республике Таджикистан. Дневник Алтайской школы политических исследований, (35),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161-165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64E8F1FF" w14:textId="77777777" w:rsidR="00F938D7" w:rsidRPr="00F938D7" w:rsidRDefault="00F938D7" w:rsidP="00F938D7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Грозин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В. (2022). ИСТОРИЧЕСКАЯ ПОЛИТИКА КАК ФАКТОР ВНУТРИПОЛИТИЧЕСКОГО ПРОЦЕССА В СТРАНАХ ПОСТСОВЕТСКОЙ АЗИИ. ЧАСТЬ 1. Постсоветский материк, (2 (34)),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114-134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5798B0BB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val="ru-RU"/>
        </w:rPr>
      </w:pPr>
    </w:p>
    <w:p w14:paraId="17C0E1C2" w14:textId="77777777" w:rsidR="00F938D7" w:rsidRPr="00F938D7" w:rsidRDefault="00F938D7" w:rsidP="00F938D7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val="ru-RU"/>
        </w:rPr>
      </w:pPr>
    </w:p>
    <w:p w14:paraId="5DA19190" w14:textId="77777777" w:rsidR="00F938D7" w:rsidRPr="00F938D7" w:rsidRDefault="00F938D7" w:rsidP="00F9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/>
        </w:rPr>
        <w:t>Модуль 4 Конфликт геополитических проектов для ЦА</w:t>
      </w:r>
    </w:p>
    <w:p w14:paraId="0DA7641B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 Концепции внешней политики Республики Казахстан на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2020 – 2030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годы. 9 марта 2020 года// https://www.akorda.kz/ru/legal_acts/decrees/o-koncepcii-vneshnei-politiki-respubliki-kazahstan-na-2020-2030-gody</w:t>
      </w:r>
    </w:p>
    <w:p w14:paraId="69B812AF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Лаумулин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М. (2022). ОБЗОР ЛИТЕРАТУРЫ ПО ЦЕНТРАЛЬНОЙ АЗИИ НА 2022 Г.: ЧАСТЬ I, 2, 3, 4. Казахстан-Спектр. </w:t>
      </w:r>
    </w:p>
    <w:p w14:paraId="55B1AA3A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Kazakhstan Journal for Foreign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Studies, 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</w:rPr>
        <w:t>KazISS</w:t>
      </w:r>
      <w:proofErr w:type="spellEnd"/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материалы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русском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языке</w:t>
      </w:r>
      <w:r w:rsidRPr="00F938D7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1BDC4711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Кушкумбаев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С. (2022). ЦЕНТРАЛЬНОАЗИАТСКИЙ ВЕКТОР ВНЕШНЕЙ ПОЛИТИКИ КАЗАХСТАНА: КУРС НА КООПЕРАЦИЮ И СБЛИЖЕНИЕ. Казахстан-Спектр, 104(4).</w:t>
      </w:r>
    </w:p>
    <w:p w14:paraId="6C9F2267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КУШКУМБАЕВ С.К. КАЗАХСТАН И ЦЕНТРАЛЬНАЯ АЗИЯ МЕЖДУ ВЫЗОВАМИ ИЗ ПРОШЛОГО И ГРЯДУЩЕГО. СБОРНИК СТАТЕЙ, ВЫСТУПЛЕНИЙ И ИНТЕРВЬЮ. – АСТАНА, 2022. – 372 с.</w:t>
      </w:r>
    </w:p>
    <w:p w14:paraId="2FF7B158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Байзакова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К. И., Сабуров, Н., &amp;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Оразбай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Ə. (2021). Появление интеграционных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процесов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в Центральной Азии в сравнении с АСЕАН. Вестник Карагандинского университета. Серия: История. Философия, 102(2),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31-39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4C5B5469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Хайбуллина, Маркос ВОДА КАК ФАКТОР ЭКОНОМИЧЕСКОГО РОСТА И БЕЗОПАСНОСТИ В ЦЕНТРАЛЬНОЙ АЗИИ: ПОСЛЕДСТВИЯ БЕЗДЕЙСТВИЯ И ПРЕИМУЩЕСТВА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СОТРУДНИЧЕСТВАю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казахстан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спектр 1. 2022</w:t>
      </w:r>
    </w:p>
    <w:p w14:paraId="66C21902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Азретбергенова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Г. Ж., Сыздыкова, А. О.,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Кенжегалиева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А., &amp;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Есенали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(2022). Определяющие факторы прямых иностранных инвестиций в странах Центральной Азии. Вестник университета «Туран», (4),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76-88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3F464BE6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Алымкулов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М. С., &amp;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Наматов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Н. А. (2021). «БОЛЬШАЯ ИГРА» РОССИЙСКOЙ И БРИТАНСКOЙ ИМПЕРИИ В ЦЕНТРАЛЬНОЙ АЗИИ. Большая Евразия: Развитие, безопасность, сотрудничество, (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4-1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), 15-17.</w:t>
      </w:r>
    </w:p>
    <w:p w14:paraId="06DA9F29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Шукушева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Е. В. (2020). Центральная Азия в политике Европейского союза. In Развитие политических институтов и процессов: зарубежный и отечественный опыт (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pp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699-706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).</w:t>
      </w:r>
    </w:p>
    <w:p w14:paraId="0C188AE4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Дульский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А. Д. (2021). Борьба за влияние в Центральной Азии между Россией, Китаем и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Японией  Сибирский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федеральный университет).</w:t>
      </w:r>
    </w:p>
    <w:p w14:paraId="2494F9A3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Колесникова, Л. С. (2020). Новая стратегия Европейского Союза в Центральной Азии и её влияние на евроазиатскую интеграцию. Постсоветские исследования, 3(2),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136-144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0239AD86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Касенова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Н. (2007). ЕС в Центральной Азии: Стратегия в контексте евразийской геополитики. Центральная Азия и Кавказ, (4 (52)),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115-126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79C28FD8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Меден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Н. К. (2012). Стратегия ЕС в Центральной Азии: уроки и перспективы. Россия и новые государства Евразии, (4),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52-61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38154B15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 xml:space="preserve">Норов, Б. И. (2019). ЦЕНТРАЛЬНАЯ АЗИЯ И ГЕОПОЛИТИКА США В ЭТОМ РЕГИОНЕ. Известия Института философии, политологии и права имени А. </w:t>
      </w: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Баховаддинова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Академии наук Республики Таджикистан, (4),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120-125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23EE278B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Надирханов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, У. С. (2022). РАЗВИТИЕ ПОНЯТИЯ «ПРЯМЫЕ ИНОСТРАННЫЕ ИНВЕСТИЦИИ» В ЗАКОНОДАТЕЛЬСТВЕ СТРАН ЦЕНТРАЛЬНОЙ АЗИИ. Большая Евразия: развитие, безопасность, сотрудничество, (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5-1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), 911-916.</w:t>
      </w:r>
    </w:p>
    <w:p w14:paraId="026FBAD8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Александрова, В. А. (2020). Экономическое сотрудничество России и государств Центральной Азии: торговля, инвестиции, перспективы развития. Скиф. Вопросы студенческой науки, (2 (42)),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332-337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135F9E8D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Махмутова</w:t>
      </w:r>
      <w:proofErr w:type="spell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Е. В. (2018). Центральная Азия в поисках собственной интеграционной модели. Вестник МГИМО Университета, (4 (61)),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78-91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565255E6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Надеин-Раевский Виктор Анатольевич (2022). ИСТОРИЯ ПАНТЮРКИЗМА И ЕГО СОВРЕМЕННЫЕ СТОРОННИКИ. ЧАСТЬ 1. ПАНТЮРКИЗМ: ОСНОВНЫЕ ВЕХИ ИСТОРИИ. Перспективы. Электронный журнал, (1 (28)),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62-73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2FB63EC2" w14:textId="77777777" w:rsidR="00F938D7" w:rsidRPr="00F938D7" w:rsidRDefault="00F938D7" w:rsidP="00F938D7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Надеин-Раевский Виктор Анатольевич (2022). ИСТОРИЯ ПАНТЮРКИЗМА И ЕГО СОВРЕМЕННЫЕ СТОРОННИКИ. ЧАСТЬ 2. НОВЫЙ ЭТАП ПАНТЮРКИСТСКИХ НАДЕЖД. Перспективы. Электронный журнал, (2 (29)), </w:t>
      </w:r>
      <w:proofErr w:type="gramStart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94-108</w:t>
      </w:r>
      <w:proofErr w:type="gramEnd"/>
      <w:r w:rsidRPr="00F938D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5BB67943" w14:textId="77777777" w:rsidR="00F938D7" w:rsidRPr="00F938D7" w:rsidRDefault="00F938D7">
      <w:pPr>
        <w:rPr>
          <w:rFonts w:ascii="Times New Roman" w:hAnsi="Times New Roman" w:cs="Times New Roman"/>
          <w:sz w:val="20"/>
          <w:szCs w:val="20"/>
        </w:rPr>
      </w:pPr>
    </w:p>
    <w:sectPr w:rsidR="00F938D7" w:rsidRPr="00F938D7" w:rsidSect="002A6E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AE7"/>
    <w:multiLevelType w:val="hybridMultilevel"/>
    <w:tmpl w:val="6C98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2C85"/>
    <w:multiLevelType w:val="hybridMultilevel"/>
    <w:tmpl w:val="6214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4F8F"/>
    <w:multiLevelType w:val="hybridMultilevel"/>
    <w:tmpl w:val="BC3C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20FBA"/>
    <w:multiLevelType w:val="hybridMultilevel"/>
    <w:tmpl w:val="B1F80C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2405C"/>
    <w:multiLevelType w:val="hybridMultilevel"/>
    <w:tmpl w:val="7B80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2642D"/>
    <w:multiLevelType w:val="hybridMultilevel"/>
    <w:tmpl w:val="CF98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F572E"/>
    <w:multiLevelType w:val="hybridMultilevel"/>
    <w:tmpl w:val="78AA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A339E"/>
    <w:multiLevelType w:val="hybridMultilevel"/>
    <w:tmpl w:val="ED800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E33BC"/>
    <w:multiLevelType w:val="hybridMultilevel"/>
    <w:tmpl w:val="F0AA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76F84"/>
    <w:multiLevelType w:val="hybridMultilevel"/>
    <w:tmpl w:val="C8C26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6754F"/>
    <w:multiLevelType w:val="hybridMultilevel"/>
    <w:tmpl w:val="5AC005B2"/>
    <w:lvl w:ilvl="0" w:tplc="FE603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8342C"/>
    <w:multiLevelType w:val="hybridMultilevel"/>
    <w:tmpl w:val="6650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1497B"/>
    <w:multiLevelType w:val="hybridMultilevel"/>
    <w:tmpl w:val="57BAD3A6"/>
    <w:lvl w:ilvl="0" w:tplc="FE603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533D2"/>
    <w:multiLevelType w:val="hybridMultilevel"/>
    <w:tmpl w:val="2C6A40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A6A32"/>
    <w:multiLevelType w:val="hybridMultilevel"/>
    <w:tmpl w:val="9DFE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513E5"/>
    <w:multiLevelType w:val="hybridMultilevel"/>
    <w:tmpl w:val="C8D06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E5618"/>
    <w:multiLevelType w:val="hybridMultilevel"/>
    <w:tmpl w:val="432C4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45C0E"/>
    <w:multiLevelType w:val="hybridMultilevel"/>
    <w:tmpl w:val="BBD2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10D8"/>
    <w:multiLevelType w:val="hybridMultilevel"/>
    <w:tmpl w:val="9F9C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D5762"/>
    <w:multiLevelType w:val="hybridMultilevel"/>
    <w:tmpl w:val="B1F80C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F5420"/>
    <w:multiLevelType w:val="hybridMultilevel"/>
    <w:tmpl w:val="6B1C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B42CE"/>
    <w:multiLevelType w:val="hybridMultilevel"/>
    <w:tmpl w:val="43D24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17EEA"/>
    <w:multiLevelType w:val="hybridMultilevel"/>
    <w:tmpl w:val="6A6C41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004C4"/>
    <w:multiLevelType w:val="hybridMultilevel"/>
    <w:tmpl w:val="1614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C3D17"/>
    <w:multiLevelType w:val="hybridMultilevel"/>
    <w:tmpl w:val="CCC05D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949F8"/>
    <w:multiLevelType w:val="hybridMultilevel"/>
    <w:tmpl w:val="FF64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F278C"/>
    <w:multiLevelType w:val="hybridMultilevel"/>
    <w:tmpl w:val="A864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C70D7"/>
    <w:multiLevelType w:val="hybridMultilevel"/>
    <w:tmpl w:val="7D72D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C0E5D"/>
    <w:multiLevelType w:val="hybridMultilevel"/>
    <w:tmpl w:val="64EA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684627">
    <w:abstractNumId w:val="18"/>
  </w:num>
  <w:num w:numId="2" w16cid:durableId="25763626">
    <w:abstractNumId w:val="17"/>
  </w:num>
  <w:num w:numId="3" w16cid:durableId="1110004039">
    <w:abstractNumId w:val="23"/>
  </w:num>
  <w:num w:numId="4" w16cid:durableId="1347441865">
    <w:abstractNumId w:val="19"/>
  </w:num>
  <w:num w:numId="5" w16cid:durableId="1739984783">
    <w:abstractNumId w:val="13"/>
  </w:num>
  <w:num w:numId="6" w16cid:durableId="316306739">
    <w:abstractNumId w:val="8"/>
  </w:num>
  <w:num w:numId="7" w16cid:durableId="63842991">
    <w:abstractNumId w:val="9"/>
  </w:num>
  <w:num w:numId="8" w16cid:durableId="829053753">
    <w:abstractNumId w:val="12"/>
  </w:num>
  <w:num w:numId="9" w16cid:durableId="1600866157">
    <w:abstractNumId w:val="10"/>
  </w:num>
  <w:num w:numId="10" w16cid:durableId="1921326843">
    <w:abstractNumId w:val="20"/>
  </w:num>
  <w:num w:numId="11" w16cid:durableId="1291941058">
    <w:abstractNumId w:val="4"/>
  </w:num>
  <w:num w:numId="12" w16cid:durableId="440418576">
    <w:abstractNumId w:val="21"/>
  </w:num>
  <w:num w:numId="13" w16cid:durableId="1443303197">
    <w:abstractNumId w:val="7"/>
  </w:num>
  <w:num w:numId="14" w16cid:durableId="2048752260">
    <w:abstractNumId w:val="0"/>
  </w:num>
  <w:num w:numId="15" w16cid:durableId="2083521925">
    <w:abstractNumId w:val="27"/>
  </w:num>
  <w:num w:numId="16" w16cid:durableId="1692754288">
    <w:abstractNumId w:val="15"/>
  </w:num>
  <w:num w:numId="17" w16cid:durableId="1232621883">
    <w:abstractNumId w:val="1"/>
  </w:num>
  <w:num w:numId="18" w16cid:durableId="418987588">
    <w:abstractNumId w:val="11"/>
  </w:num>
  <w:num w:numId="19" w16cid:durableId="1973827584">
    <w:abstractNumId w:val="6"/>
  </w:num>
  <w:num w:numId="20" w16cid:durableId="109907030">
    <w:abstractNumId w:val="28"/>
  </w:num>
  <w:num w:numId="21" w16cid:durableId="1779791461">
    <w:abstractNumId w:val="5"/>
  </w:num>
  <w:num w:numId="22" w16cid:durableId="1149519126">
    <w:abstractNumId w:val="16"/>
  </w:num>
  <w:num w:numId="23" w16cid:durableId="253128084">
    <w:abstractNumId w:val="2"/>
  </w:num>
  <w:num w:numId="24" w16cid:durableId="273876009">
    <w:abstractNumId w:val="14"/>
  </w:num>
  <w:num w:numId="25" w16cid:durableId="1479567316">
    <w:abstractNumId w:val="26"/>
  </w:num>
  <w:num w:numId="26" w16cid:durableId="1814911537">
    <w:abstractNumId w:val="3"/>
  </w:num>
  <w:num w:numId="27" w16cid:durableId="1491172212">
    <w:abstractNumId w:val="24"/>
  </w:num>
  <w:num w:numId="28" w16cid:durableId="1958756158">
    <w:abstractNumId w:val="25"/>
  </w:num>
  <w:num w:numId="29" w16cid:durableId="20996746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D7"/>
    <w:rsid w:val="00F9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4A25"/>
  <w15:chartTrackingRefBased/>
  <w15:docId w15:val="{CB25ED1B-07D1-40DB-BF57-27B1023E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938D7"/>
  </w:style>
  <w:style w:type="table" w:styleId="TableGrid">
    <w:name w:val="Table Grid"/>
    <w:basedOn w:val="TableNormal"/>
    <w:uiPriority w:val="39"/>
    <w:rsid w:val="00F9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8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1424</Words>
  <Characters>8121</Characters>
  <Application>Microsoft Office Word</Application>
  <DocSecurity>0</DocSecurity>
  <Lines>67</Lines>
  <Paragraphs>19</Paragraphs>
  <ScaleCrop>false</ScaleCrop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</cp:revision>
  <dcterms:created xsi:type="dcterms:W3CDTF">2023-01-26T01:46:00Z</dcterms:created>
  <dcterms:modified xsi:type="dcterms:W3CDTF">2023-01-26T01:53:00Z</dcterms:modified>
</cp:coreProperties>
</file>